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5" w:rsidRPr="00257B65" w:rsidRDefault="00257B65" w:rsidP="00257B65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§ </w:t>
      </w:r>
      <w:r w:rsidRPr="00257B65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90 Schulgesetz - Erziehungs- und Ordnungsmaßnahmen</w:t>
      </w:r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Das Einhalten von Regeln gehört an einem Ort, an dem viele Menschen miteinander Beziehungen gestalten, zu einer grundlegenden Notwendigkeit – somit auch in der Schule. </w:t>
      </w:r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„</w:t>
      </w:r>
      <w:r w:rsidRPr="00257B65">
        <w:rPr>
          <w:rFonts w:asciiTheme="majorHAnsi" w:eastAsia="Times New Roman" w:hAnsiTheme="majorHAnsi" w:cstheme="majorHAnsi"/>
          <w:bCs/>
          <w:i/>
          <w:sz w:val="24"/>
          <w:szCs w:val="24"/>
          <w:lang w:eastAsia="de-DE"/>
        </w:rPr>
        <w:t>Erziehungs- und Ordnungsmaßnahmen dienen der Verwirklichung des Erziehungs- und Bildung</w:t>
      </w:r>
      <w:r w:rsidRPr="00257B65">
        <w:rPr>
          <w:rFonts w:asciiTheme="majorHAnsi" w:eastAsia="Times New Roman" w:hAnsiTheme="majorHAnsi" w:cstheme="majorHAnsi"/>
          <w:bCs/>
          <w:i/>
          <w:sz w:val="24"/>
          <w:szCs w:val="24"/>
          <w:lang w:eastAsia="de-DE"/>
        </w:rPr>
        <w:t>s</w:t>
      </w:r>
      <w:r w:rsidRPr="00257B65">
        <w:rPr>
          <w:rFonts w:asciiTheme="majorHAnsi" w:eastAsia="Times New Roman" w:hAnsiTheme="majorHAnsi" w:cstheme="majorHAnsi"/>
          <w:bCs/>
          <w:i/>
          <w:sz w:val="24"/>
          <w:szCs w:val="24"/>
          <w:lang w:eastAsia="de-DE"/>
        </w:rPr>
        <w:t>auftrags der Schule, der Erfüllung der Schulbesuchspflicht, der Einhaltung der Schulordnung und dem Schutz von Personen und Sachen innerhalb der Schule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“ (siehe §90 </w:t>
      </w:r>
      <w:proofErr w:type="spellStart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SchG</w:t>
      </w:r>
      <w:proofErr w:type="spellEnd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)</w:t>
      </w:r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Dies bedeutet nicht, dass jedes geringfügige Vergehen eines Schülers zwingend mit Maßnahmen des §90 </w:t>
      </w:r>
      <w:proofErr w:type="spellStart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SchG</w:t>
      </w:r>
      <w:proofErr w:type="spellEnd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 geahndet und als Verweis im Tagebuch eingetragen werden muss. Für das Handeln des Lehrers ist dabei im Einzelfall immer der Entscheidungsgrundsatz der Verhältnismäßigkeit maßgeblich.</w:t>
      </w:r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Maßnahmen nach §90 </w:t>
      </w:r>
      <w:proofErr w:type="spellStart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SchG</w:t>
      </w:r>
      <w:proofErr w:type="spellEnd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 kommen erst dann zum Tragen, wenn pädagogische Hilfen und Erzi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e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hungsmaßnahmen wie z.B. Gespräche zwischen Schüler und Lehrer, Ermahnung und Verwarnu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n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gen nicht mehr ausreichen, oder ein äußerst schwerwiegendes Fehlverhalten vorliegt.</w:t>
      </w:r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Die unten aufgeführte Verfahrensweise im Umgang mit Tagebucheinträgen soll im Sinne der Transparenz einen Überblick über die Vorgehensweise an unserer Schule vermitteln. In Bezug auf die Maßnahmen des §90 </w:t>
      </w:r>
      <w:proofErr w:type="spellStart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SchG</w:t>
      </w:r>
      <w:proofErr w:type="spellEnd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 muss die Lehrkraft und die Schulleitung aber jeweils im gegebenen Einzelfall entscheiden, welche Maßnahmen erforderlich sind.</w:t>
      </w:r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Der genaue Wortlaut des §90 </w:t>
      </w:r>
      <w:proofErr w:type="spellStart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SchulG</w:t>
      </w:r>
      <w:proofErr w:type="spellEnd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 kann über folgenden Link nachgelesen werden: </w:t>
      </w:r>
      <w:hyperlink r:id="rId9" w:history="1">
        <w:r w:rsidRPr="00257B65">
          <w:rPr>
            <w:rFonts w:asciiTheme="majorHAnsi" w:eastAsia="Times New Roman" w:hAnsiTheme="majorHAnsi" w:cstheme="majorHAnsi"/>
            <w:bCs/>
            <w:color w:val="0000FF"/>
            <w:sz w:val="24"/>
            <w:szCs w:val="24"/>
            <w:u w:val="single"/>
            <w:lang w:eastAsia="de-DE"/>
          </w:rPr>
          <w:t>http://www.landesrecht-bw.de/jportal/?quelle=jlink&amp;query=SchulG+BW+%C2%A7+90&amp;max=true</w:t>
        </w:r>
      </w:hyperlink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</w:p>
    <w:p w:rsidR="00257B65" w:rsidRPr="00257B65" w:rsidRDefault="00257B65" w:rsidP="00257B65">
      <w:pPr>
        <w:spacing w:after="12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Tagebucheinträge – Verfahrensweise und Konsequenzen</w:t>
      </w:r>
    </w:p>
    <w:p w:rsidR="00257B65" w:rsidRPr="00257B65" w:rsidRDefault="00257B65" w:rsidP="00257B6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Schriftliche Einträge in das Tagebuch</w:t>
      </w:r>
    </w:p>
    <w:p w:rsidR="00257B65" w:rsidRPr="00257B65" w:rsidRDefault="00257B65" w:rsidP="00257B65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de-DE"/>
        </w:rPr>
        <w:t>Bemerkung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 (evtl. verknüpft mit pädagogischen Erziehungsmaßnahmen)</w:t>
      </w:r>
    </w:p>
    <w:p w:rsidR="00257B65" w:rsidRPr="00257B65" w:rsidRDefault="00257B65" w:rsidP="00257B65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de-DE"/>
        </w:rPr>
        <w:t>Verweis</w:t>
      </w:r>
      <w:r w:rsidRPr="00257B65">
        <w:rPr>
          <w:rFonts w:asciiTheme="majorHAnsi" w:eastAsia="Times New Roman" w:hAnsiTheme="majorHAnsi" w:cstheme="majorHAnsi"/>
          <w:bCs/>
          <w:i/>
          <w:sz w:val="24"/>
          <w:szCs w:val="24"/>
          <w:lang w:eastAsia="de-DE"/>
        </w:rPr>
        <w:t xml:space="preserve"> 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(immer verknüpft mit einer Elterninformation; evtl. verknüpft mit einer Maßna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h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 xml:space="preserve">me nach §90 </w:t>
      </w:r>
      <w:proofErr w:type="spellStart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SchG</w:t>
      </w:r>
      <w:proofErr w:type="spellEnd"/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)</w:t>
      </w:r>
    </w:p>
    <w:p w:rsidR="00257B65" w:rsidRPr="00257B65" w:rsidRDefault="00257B65" w:rsidP="00257B6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Dokumentation im Tagebuch</w:t>
      </w:r>
    </w:p>
    <w:p w:rsidR="00257B65" w:rsidRPr="00257B65" w:rsidRDefault="00257B65" w:rsidP="00257B65">
      <w:pPr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Der Verweis wird den Schülerinnen und Schülern unmittelbar angekündigt und am Ende der Stunde im Tagebuch mit dem Hinweis „Verweis“ eingetragen. Eine Anhörung des Schülers ist erforderlich.</w:t>
      </w:r>
    </w:p>
    <w:p w:rsidR="00257B65" w:rsidRPr="00257B65" w:rsidRDefault="00257B65" w:rsidP="00257B65">
      <w:pPr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Der Verweis soll so abgefasst sein, dass die Art des Verstoßes eindeutig ersichtlich ist bzw. ganz konkret benannt ist. Außerdem muss er mit einer zusätzlichen pädagog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i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schen/erzieherischen Maßnahme verbunden sein.</w:t>
      </w:r>
    </w:p>
    <w:p w:rsidR="00257B65" w:rsidRPr="00257B65" w:rsidRDefault="00257B65" w:rsidP="00257B65">
      <w:pPr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Der Klassenlehrer nimmt den Verweis des Fachlehrers zur Kenntnis, protokolliert bzw. sammelt den Eintrag und zeichnet den Verweis mit roter Farbe im Tagebuch ab.</w:t>
      </w:r>
    </w:p>
    <w:p w:rsidR="00257B65" w:rsidRDefault="00257B65" w:rsidP="00257B65">
      <w:pPr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Der Schüler hat ein Beschwerderecht; die Beschwerde kann am Ende der Stunde bei der Anhörung erfolgen; sie kann dem Klassenlehrer, Verbindungslehrer oder der Schulleitung auch schriftlich vorgelegt werden. Es gilt in diesem Fall der Beschwerdeweg wie im Leitf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a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den „Umgang mit Konflikten“ (siehe Homepage) festgelegt ist.</w:t>
      </w:r>
    </w:p>
    <w:p w:rsidR="00257B65" w:rsidRPr="00257B65" w:rsidRDefault="00257B65" w:rsidP="00257B65">
      <w:pPr>
        <w:spacing w:after="120" w:line="240" w:lineRule="auto"/>
        <w:ind w:left="85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</w:pPr>
    </w:p>
    <w:p w:rsidR="00257B65" w:rsidRPr="00257B65" w:rsidRDefault="00257B65" w:rsidP="00257B65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lastRenderedPageBreak/>
        <w:t>Erziehungs- und Ordnungsmaßnahmen (in Abhängigkeit des Vergehens)</w:t>
      </w:r>
    </w:p>
    <w:p w:rsidR="00257B65" w:rsidRPr="00257B65" w:rsidRDefault="00257B65" w:rsidP="00257B65">
      <w:pPr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A)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: Strafe, Anhörung und pädagogisch-erzieherisches Gespräch des eintragenden Lehrers mit dem Schüler; Verwarnung und Aufklärung über die Konsequenzen bei weiterer Nichtbeachtung der Regeln; schriftliche Elterninformation (Formular) durch den Fachlehrer. (pädagogische E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r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ziehungsmaßnahme)</w:t>
      </w:r>
    </w:p>
    <w:p w:rsidR="00257B65" w:rsidRPr="00257B65" w:rsidRDefault="00257B65" w:rsidP="00257B65">
      <w:pPr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B)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: Strafe, Anhörung und pädagogisch-erzieherisches Gespräch des eintragenden Lehrers und des Klassenlehrers mit dem Schüler; Verwarnung und Aufklärung über die Konsequenzen bei weiterer Nichtbeachtung der Regeln; schriftliche Elterninformation (Formular) durch den Kla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senlehrer. (pädagogische Erziehungsmaßnahme)</w:t>
      </w:r>
    </w:p>
    <w:p w:rsidR="00257B65" w:rsidRPr="00257B65" w:rsidRDefault="00257B65" w:rsidP="00257B65">
      <w:pPr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C)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: Anhörung und pädagogisch-erzieherisches Gespräch des eintragenden Lehrers und des Kla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senlehrer mit dem Schüler; Verwarnung und Aufklärung über die Konsequenzen bei weiterer Nichtbeachtung der Regeln; mindestens 1-2 Stunden Arrest; schriftliche Elterninformation (Formular) durch den Klassenlehrer. (§ 90 Erziehungs- und Ordnungsmaßnahmen)</w:t>
      </w:r>
    </w:p>
    <w:p w:rsidR="00257B65" w:rsidRPr="00257B65" w:rsidRDefault="00257B65" w:rsidP="00257B65">
      <w:pPr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D)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: Anhörung durch Schulleitung (stellvertretende Schulleitung), Benachrichtigung der Eltern durch die Schulleitung. Je nach Schwere 2-4 Stunden Rektoratsarrest; Hilfsangebote und A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n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drohung des zeitweiligen Schulausschlusses; Verwarnung und Aufklärung über die Konseque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n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zen bei weiterer Nichtbeachtung der Regeln. (§ 90 Erziehungs- und Ordnungsmaßnahmen)</w:t>
      </w:r>
    </w:p>
    <w:p w:rsidR="00257B65" w:rsidRPr="00257B65" w:rsidRDefault="00257B65" w:rsidP="00257B65">
      <w:pPr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257B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E)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: Anhörung durch Schulleiter, Gespräch mit den Eltern; je nach Schwere 4 Stunden Rektorat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s</w:t>
      </w:r>
      <w:r w:rsidRPr="00257B65">
        <w:rPr>
          <w:rFonts w:asciiTheme="majorHAnsi" w:eastAsia="Times New Roman" w:hAnsiTheme="majorHAnsi" w:cstheme="majorHAnsi"/>
          <w:bCs/>
          <w:sz w:val="24"/>
          <w:szCs w:val="24"/>
          <w:lang w:eastAsia="de-DE"/>
        </w:rPr>
        <w:t>arrest oder zeitweiliger Schulausschluss bis 5 Tage; Hinweis auf die weiteren Maßnahmen des §90 Schulgesetz. (§ 90 Erziehungs- und Ordnungsmaßnahmen)</w:t>
      </w:r>
    </w:p>
    <w:p w:rsidR="00257B65" w:rsidRPr="00257B65" w:rsidRDefault="00257B65" w:rsidP="00257B65">
      <w:pPr>
        <w:spacing w:after="1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0B2E93" w:rsidRPr="00257B65" w:rsidRDefault="000B2E93" w:rsidP="009E7C1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sectPr w:rsidR="000B2E93" w:rsidRPr="00257B65" w:rsidSect="00312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55" w:rsidRDefault="00B33055" w:rsidP="00766C0B">
      <w:pPr>
        <w:spacing w:after="0" w:line="240" w:lineRule="auto"/>
      </w:pPr>
      <w:r>
        <w:separator/>
      </w:r>
    </w:p>
  </w:endnote>
  <w:endnote w:type="continuationSeparator" w:id="0">
    <w:p w:rsidR="00B33055" w:rsidRDefault="00B33055" w:rsidP="0076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EngraversGothic BT"/>
    <w:charset w:val="00"/>
    <w:family w:val="swiss"/>
    <w:pitch w:val="variable"/>
    <w:sig w:usb0="00000003" w:usb1="00000000" w:usb2="00000000" w:usb3="00000000" w:csb0="00000001" w:csb1="00000000"/>
  </w:font>
  <w:font w:name="Ski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Bradley Hand ITC TT-Bold">
    <w:altName w:val="Courier New"/>
    <w:charset w:val="00"/>
    <w:family w:val="auto"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BC" w:rsidRDefault="00312B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B06751" w:rsidRPr="009E7C1B" w:rsidRDefault="002A268B">
    <w:pPr>
      <w:pStyle w:val="Fuzeile"/>
      <w:rPr>
        <w:sz w:val="16"/>
        <w:szCs w:val="16"/>
      </w:rPr>
    </w:pPr>
    <w:r w:rsidRPr="009E7C1B">
      <w:rPr>
        <w:sz w:val="16"/>
        <w:szCs w:val="16"/>
      </w:rPr>
      <w:fldChar w:fldCharType="begin"/>
    </w:r>
    <w:r w:rsidRPr="009E7C1B">
      <w:rPr>
        <w:sz w:val="16"/>
        <w:szCs w:val="16"/>
      </w:rPr>
      <w:instrText xml:space="preserve"> FILENAME  \p  \* MERGEFORMAT </w:instrText>
    </w:r>
    <w:r w:rsidRPr="009E7C1B">
      <w:rPr>
        <w:sz w:val="16"/>
        <w:szCs w:val="16"/>
      </w:rPr>
      <w:fldChar w:fldCharType="separate"/>
    </w:r>
    <w:r w:rsidR="004D0637">
      <w:rPr>
        <w:noProof/>
        <w:sz w:val="16"/>
        <w:szCs w:val="16"/>
      </w:rPr>
      <w:t>Z:\Verwaltung\Erziehungs und Ordnungsmaßnahmen\Info Homepage Erziehungs- und Ordnungsmaßnahmen.docx</w:t>
    </w:r>
    <w:r w:rsidRPr="009E7C1B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BC" w:rsidRDefault="00312B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55" w:rsidRDefault="00B33055" w:rsidP="00766C0B">
      <w:pPr>
        <w:spacing w:after="0" w:line="240" w:lineRule="auto"/>
      </w:pPr>
      <w:r>
        <w:separator/>
      </w:r>
    </w:p>
  </w:footnote>
  <w:footnote w:type="continuationSeparator" w:id="0">
    <w:p w:rsidR="00B33055" w:rsidRDefault="00B33055" w:rsidP="0076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BC" w:rsidRDefault="00312B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330"/>
      <w:gridCol w:w="2111"/>
    </w:tblGrid>
    <w:tr w:rsidR="002A268B" w:rsidTr="002A268B">
      <w:trPr>
        <w:trHeight w:val="1413"/>
      </w:trPr>
      <w:tc>
        <w:tcPr>
          <w:tcW w:w="1881" w:type="dxa"/>
        </w:tcPr>
        <w:p w:rsidR="002A268B" w:rsidRDefault="002A268B" w:rsidP="00E25643">
          <w:pPr>
            <w:pStyle w:val="Kopfzeile"/>
            <w:tabs>
              <w:tab w:val="clear" w:pos="4536"/>
              <w:tab w:val="clear" w:pos="9072"/>
              <w:tab w:val="center" w:pos="3828"/>
            </w:tabs>
            <w:ind w:firstLine="845"/>
            <w:jc w:val="center"/>
            <w:rPr>
              <w:rFonts w:ascii="Copperplate Gothic Light" w:hAnsi="Copperplate Gothic Light"/>
            </w:rPr>
          </w:pPr>
          <w:r w:rsidRPr="00531D0F">
            <w:rPr>
              <w:rFonts w:ascii="Copperplate Gothic Light" w:hAnsi="Copperplate Gothic Light"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27D5813" wp14:editId="2DA8B3CF">
                <wp:simplePos x="0" y="0"/>
                <wp:positionH relativeFrom="column">
                  <wp:posOffset>532765</wp:posOffset>
                </wp:positionH>
                <wp:positionV relativeFrom="paragraph">
                  <wp:posOffset>635</wp:posOffset>
                </wp:positionV>
                <wp:extent cx="1057275" cy="792480"/>
                <wp:effectExtent l="0" t="0" r="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ullogo 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0" w:type="dxa"/>
        </w:tcPr>
        <w:p w:rsidR="002A268B" w:rsidRPr="002A268B" w:rsidRDefault="002A268B" w:rsidP="00E25643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Skia" w:hAnsi="Skia"/>
              <w:sz w:val="32"/>
              <w:szCs w:val="32"/>
            </w:rPr>
          </w:pPr>
          <w:r w:rsidRPr="002A268B">
            <w:rPr>
              <w:rFonts w:ascii="Skia" w:hAnsi="Skia"/>
              <w:sz w:val="32"/>
              <w:szCs w:val="32"/>
            </w:rPr>
            <w:t>Progymnasium Bad Buchau</w:t>
          </w:r>
        </w:p>
        <w:p w:rsidR="002A268B" w:rsidRPr="00345936" w:rsidRDefault="002A268B" w:rsidP="00E25643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Bradley Hand ITC TT-Bold" w:hAnsi="Bradley Hand ITC TT-Bold" w:cs="Apple Symbols"/>
              <w:sz w:val="20"/>
              <w:szCs w:val="20"/>
            </w:rPr>
          </w:pPr>
          <w:r w:rsidRPr="002A268B">
            <w:rPr>
              <w:rFonts w:ascii="Skia" w:hAnsi="Skia" w:cs="Apple Symbols"/>
              <w:sz w:val="20"/>
              <w:szCs w:val="20"/>
            </w:rPr>
            <w:t>Bildung – Verantwortung - Partnerschaft</w:t>
          </w:r>
        </w:p>
      </w:tc>
      <w:tc>
        <w:tcPr>
          <w:tcW w:w="2111" w:type="dxa"/>
        </w:tcPr>
        <w:p w:rsidR="002A268B" w:rsidRPr="00EA7AEF" w:rsidRDefault="002A268B" w:rsidP="00E25643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B33055" w:rsidRPr="002A268B" w:rsidRDefault="00B33055" w:rsidP="002A268B">
    <w:pPr>
      <w:pStyle w:val="Kopfzeile"/>
      <w:tabs>
        <w:tab w:val="clear" w:pos="4536"/>
        <w:tab w:val="clear" w:pos="9072"/>
        <w:tab w:val="left" w:pos="2440"/>
      </w:tabs>
      <w:rPr>
        <w:sz w:val="1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BC" w:rsidRDefault="00312B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5D5"/>
    <w:multiLevelType w:val="hybridMultilevel"/>
    <w:tmpl w:val="606209D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5A3C7F"/>
    <w:multiLevelType w:val="hybridMultilevel"/>
    <w:tmpl w:val="C3D44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278A"/>
    <w:multiLevelType w:val="hybridMultilevel"/>
    <w:tmpl w:val="C302BB70"/>
    <w:lvl w:ilvl="0" w:tplc="521214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983475"/>
    <w:multiLevelType w:val="hybridMultilevel"/>
    <w:tmpl w:val="3CDAE9E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4A1"/>
    <w:rsid w:val="00007B5A"/>
    <w:rsid w:val="00064984"/>
    <w:rsid w:val="000B2E93"/>
    <w:rsid w:val="000D1CB8"/>
    <w:rsid w:val="00160224"/>
    <w:rsid w:val="00257B65"/>
    <w:rsid w:val="00287BDC"/>
    <w:rsid w:val="002A268B"/>
    <w:rsid w:val="00312BBC"/>
    <w:rsid w:val="00325D18"/>
    <w:rsid w:val="004401B9"/>
    <w:rsid w:val="0046412F"/>
    <w:rsid w:val="00477352"/>
    <w:rsid w:val="00483D11"/>
    <w:rsid w:val="004B7295"/>
    <w:rsid w:val="004D0637"/>
    <w:rsid w:val="004F1878"/>
    <w:rsid w:val="005D0B1B"/>
    <w:rsid w:val="00611C01"/>
    <w:rsid w:val="00766C0B"/>
    <w:rsid w:val="00767FDF"/>
    <w:rsid w:val="007A60EF"/>
    <w:rsid w:val="007B291D"/>
    <w:rsid w:val="00846867"/>
    <w:rsid w:val="00960824"/>
    <w:rsid w:val="009D4874"/>
    <w:rsid w:val="009E7C1B"/>
    <w:rsid w:val="00A043A1"/>
    <w:rsid w:val="00AD2947"/>
    <w:rsid w:val="00B06751"/>
    <w:rsid w:val="00B11760"/>
    <w:rsid w:val="00B33055"/>
    <w:rsid w:val="00C43DD0"/>
    <w:rsid w:val="00C461C1"/>
    <w:rsid w:val="00CE64A1"/>
    <w:rsid w:val="00D85130"/>
    <w:rsid w:val="00E11CC3"/>
    <w:rsid w:val="00E31DF8"/>
    <w:rsid w:val="00EA6FFE"/>
    <w:rsid w:val="00EB1528"/>
    <w:rsid w:val="00ED0B66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ndesrecht-bw.de/jportal/?quelle=jlink&amp;query=SchulG+BW+%C2%A7+90&amp;max=tru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68000-940B-41AD-96B5-A1DF4ADA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 Bad Buchau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Feyen</dc:creator>
  <cp:lastModifiedBy>Andreas Berdami</cp:lastModifiedBy>
  <cp:revision>11</cp:revision>
  <cp:lastPrinted>2015-03-21T13:30:00Z</cp:lastPrinted>
  <dcterms:created xsi:type="dcterms:W3CDTF">2014-12-21T11:55:00Z</dcterms:created>
  <dcterms:modified xsi:type="dcterms:W3CDTF">2015-04-15T08:13:00Z</dcterms:modified>
</cp:coreProperties>
</file>